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B8" w:rsidRDefault="008A1B95">
      <w:pPr>
        <w:spacing w:after="210" w:line="251" w:lineRule="auto"/>
        <w:ind w:left="10" w:firstLine="0"/>
        <w:jc w:val="center"/>
      </w:pPr>
      <w:bookmarkStart w:id="0" w:name="_GoBack"/>
      <w:bookmarkEnd w:id="0"/>
      <w:r>
        <w:rPr>
          <w:sz w:val="32"/>
        </w:rPr>
        <w:t>十二年課綱原住民族教育議題電子報徵稿計畫書</w:t>
      </w:r>
      <w:r>
        <w:rPr>
          <w:sz w:val="32"/>
        </w:rPr>
        <w:t xml:space="preserve"> </w:t>
      </w:r>
    </w:p>
    <w:p w:rsidR="003F72B8" w:rsidRDefault="008A1B95">
      <w:pPr>
        <w:numPr>
          <w:ilvl w:val="0"/>
          <w:numId w:val="1"/>
        </w:numPr>
        <w:spacing w:after="70"/>
        <w:ind w:hanging="523"/>
      </w:pPr>
      <w:r>
        <w:rPr>
          <w:sz w:val="28"/>
        </w:rPr>
        <w:t>源起</w:t>
      </w:r>
      <w:r>
        <w:rPr>
          <w:rFonts w:ascii="Times New Roman" w:eastAsia="Times New Roman" w:hAnsi="Times New Roman" w:cs="Times New Roman"/>
          <w:b/>
        </w:rPr>
        <w:t xml:space="preserve"> </w:t>
      </w:r>
    </w:p>
    <w:p w:rsidR="003F72B8" w:rsidRDefault="008A1B95">
      <w:pPr>
        <w:ind w:left="-3" w:firstLine="521"/>
      </w:pPr>
      <w:r>
        <w:t>為推廣十二年課綱原住民族教育議題，分享各級學校課程發展及教材教案設計經驗，特以由電子報出刊，另於公告於國教署設置之原住民教育資訊網站的方式，俾能宣傳計畫工作傳，以協助各級學校教師之原住民教育議題相關教學工作。歡迎各界朋友踴躍投稿分享寶貴經驗。</w:t>
      </w:r>
      <w:r>
        <w:rPr>
          <w:rFonts w:ascii="Times New Roman" w:eastAsia="Times New Roman" w:hAnsi="Times New Roman" w:cs="Times New Roman"/>
        </w:rPr>
        <w:t xml:space="preserve"> </w:t>
      </w:r>
    </w:p>
    <w:p w:rsidR="003F72B8" w:rsidRDefault="008A1B95">
      <w:pPr>
        <w:numPr>
          <w:ilvl w:val="0"/>
          <w:numId w:val="1"/>
        </w:numPr>
        <w:spacing w:after="70" w:line="251" w:lineRule="auto"/>
        <w:ind w:hanging="523"/>
      </w:pPr>
      <w:r>
        <w:rPr>
          <w:sz w:val="28"/>
        </w:rPr>
        <w:t>電子報徵稿內容</w:t>
      </w:r>
      <w:r>
        <w:rPr>
          <w:rFonts w:ascii="Times New Roman" w:eastAsia="Times New Roman" w:hAnsi="Times New Roman" w:cs="Times New Roman"/>
          <w:b/>
        </w:rPr>
        <w:t xml:space="preserve"> </w:t>
      </w:r>
    </w:p>
    <w:p w:rsidR="003F72B8" w:rsidRDefault="008A1B95">
      <w:pPr>
        <w:ind w:left="-3" w:firstLine="521"/>
      </w:pPr>
      <w:r>
        <w:t>徵稿內容以各領綱內原住民族相關學習內容為主要範圍，然本土語文原住民族語文及民族教育課程暫不列入。電子報內容預定包括近期活動訊息及教學資源介紹兩大類，後者至少包括：</w:t>
      </w:r>
      <w:r>
        <w:rPr>
          <w:rFonts w:cs="Times New Roman"/>
        </w:rPr>
        <w:t xml:space="preserve"> </w:t>
      </w:r>
    </w:p>
    <w:p w:rsidR="003F72B8" w:rsidRDefault="008A1B95">
      <w:pPr>
        <w:numPr>
          <w:ilvl w:val="1"/>
          <w:numId w:val="1"/>
        </w:numPr>
        <w:ind w:left="1134" w:hanging="650"/>
      </w:pPr>
      <w:r>
        <w:rPr>
          <w:rFonts w:cs="Times New Roman"/>
        </w:rPr>
        <w:t xml:space="preserve">12 </w:t>
      </w:r>
      <w:r>
        <w:t>年課綱部定領域課程原住民族相關學習內容條目釋義。</w:t>
      </w:r>
    </w:p>
    <w:p w:rsidR="003F72B8" w:rsidRDefault="008A1B95">
      <w:pPr>
        <w:numPr>
          <w:ilvl w:val="1"/>
          <w:numId w:val="1"/>
        </w:numPr>
        <w:ind w:left="1134" w:hanging="650"/>
      </w:pPr>
      <w:r>
        <w:rPr>
          <w:rFonts w:cs="Times New Roman"/>
        </w:rPr>
        <w:t xml:space="preserve">12 </w:t>
      </w:r>
      <w:r>
        <w:t>年課綱部定領域課程原住民族相關學習內容教科書單元或教案教材介紹。</w:t>
      </w:r>
    </w:p>
    <w:p w:rsidR="003F72B8" w:rsidRDefault="008A1B95">
      <w:pPr>
        <w:numPr>
          <w:ilvl w:val="1"/>
          <w:numId w:val="1"/>
        </w:numPr>
        <w:ind w:left="1134" w:hanging="650"/>
      </w:pPr>
      <w:r>
        <w:rPr>
          <w:rFonts w:cs="Times New Roman"/>
        </w:rPr>
        <w:t xml:space="preserve">12 </w:t>
      </w:r>
      <w:r>
        <w:t>年課綱校訂課程原住民族教育議題相關課程介紹。</w:t>
      </w:r>
    </w:p>
    <w:p w:rsidR="003F72B8" w:rsidRDefault="008A1B95">
      <w:pPr>
        <w:numPr>
          <w:ilvl w:val="1"/>
          <w:numId w:val="1"/>
        </w:numPr>
        <w:ind w:left="1134" w:hanging="650"/>
      </w:pPr>
      <w:r>
        <w:rPr>
          <w:rFonts w:cs="Times New Roman"/>
        </w:rPr>
        <w:t xml:space="preserve">12 </w:t>
      </w:r>
      <w:r>
        <w:t>年課綱原住民族教育議題教學參考資源介紹（包括專書、論文、工具書及影音資料等）。</w:t>
      </w:r>
    </w:p>
    <w:p w:rsidR="003F72B8" w:rsidRDefault="008A1B95">
      <w:pPr>
        <w:ind w:left="494"/>
      </w:pPr>
      <w:r>
        <w:rPr>
          <w:rFonts w:cs="Times New Roman"/>
        </w:rPr>
        <w:t>(</w:t>
      </w:r>
      <w:r>
        <w:t>五</w:t>
      </w:r>
      <w:r>
        <w:rPr>
          <w:rFonts w:cs="Times New Roman"/>
        </w:rPr>
        <w:t>)</w:t>
      </w:r>
      <w:r>
        <w:t>其它原住民族相關學習內容。</w:t>
      </w:r>
    </w:p>
    <w:p w:rsidR="003F72B8" w:rsidRDefault="008A1B95">
      <w:pPr>
        <w:numPr>
          <w:ilvl w:val="0"/>
          <w:numId w:val="1"/>
        </w:numPr>
        <w:spacing w:after="105"/>
        <w:ind w:hanging="523"/>
      </w:pPr>
      <w:r>
        <w:t>發行日期與方式</w:t>
      </w:r>
      <w:r>
        <w:rPr>
          <w:rFonts w:ascii="Times New Roman" w:eastAsia="Times New Roman" w:hAnsi="Times New Roman" w:cs="Times New Roman"/>
          <w:b/>
        </w:rPr>
        <w:t xml:space="preserve"> </w:t>
      </w:r>
    </w:p>
    <w:p w:rsidR="003F72B8" w:rsidRDefault="008A1B95">
      <w:pPr>
        <w:spacing w:after="283" w:line="251" w:lineRule="auto"/>
        <w:ind w:left="0" w:firstLine="521"/>
      </w:pPr>
      <w:r>
        <w:t>電子報將於</w:t>
      </w:r>
      <w:r>
        <w:rPr>
          <w:rFonts w:ascii="Times New Roman" w:eastAsia="Times New Roman" w:hAnsi="Times New Roman" w:cs="Times New Roman"/>
        </w:rPr>
        <w:t xml:space="preserve"> 11</w:t>
      </w:r>
      <w:r>
        <w:rPr>
          <w:rFonts w:ascii="新細明體" w:eastAsia="新細明體" w:hAnsi="新細明體" w:cs="Times New Roman"/>
        </w:rPr>
        <w:t>3</w:t>
      </w:r>
      <w:r>
        <w:rPr>
          <w:rFonts w:ascii="Times New Roman" w:eastAsia="Times New Roman" w:hAnsi="Times New Roman" w:cs="Times New Roman"/>
        </w:rPr>
        <w:t xml:space="preserve"> </w:t>
      </w:r>
      <w:r>
        <w:t>年</w:t>
      </w:r>
      <w:r>
        <w:t xml:space="preserve"> </w:t>
      </w:r>
      <w:r>
        <w:rPr>
          <w:rFonts w:ascii="新細明體" w:eastAsia="新細明體" w:hAnsi="新細明體" w:cs="Times New Roman"/>
        </w:rPr>
        <w:t>3</w:t>
      </w:r>
      <w:r>
        <w:rPr>
          <w:rFonts w:ascii="Times New Roman" w:eastAsia="Times New Roman" w:hAnsi="Times New Roman" w:cs="Times New Roman"/>
        </w:rPr>
        <w:t xml:space="preserve"> </w:t>
      </w:r>
      <w:r>
        <w:t>月、</w:t>
      </w:r>
      <w:r>
        <w:rPr>
          <w:rFonts w:ascii="新細明體" w:eastAsia="新細明體" w:hAnsi="新細明體" w:cs="Times New Roman"/>
        </w:rPr>
        <w:t>5</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w:t>
      </w:r>
      <w:r>
        <w:rPr>
          <w:rFonts w:ascii="新細明體" w:eastAsia="新細明體" w:hAnsi="新細明體" w:cs="Times New Roman"/>
        </w:rPr>
        <w:t>8</w:t>
      </w:r>
      <w:r>
        <w:rPr>
          <w:rFonts w:ascii="Times New Roman" w:eastAsia="Times New Roman" w:hAnsi="Times New Roman" w:cs="Times New Roman"/>
        </w:rPr>
        <w:t xml:space="preserve"> </w:t>
      </w:r>
      <w:r>
        <w:t>月、</w:t>
      </w:r>
      <w:r>
        <w:rPr>
          <w:rFonts w:ascii="Times New Roman" w:eastAsia="Times New Roman" w:hAnsi="Times New Roman" w:cs="Times New Roman"/>
        </w:rPr>
        <w:t>1</w:t>
      </w:r>
      <w:r>
        <w:rPr>
          <w:rFonts w:ascii="新細明體" w:eastAsia="新細明體" w:hAnsi="新細明體" w:cs="Times New Roman"/>
        </w:rPr>
        <w:t>0</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，共發行</w:t>
      </w:r>
      <w:r>
        <w:t xml:space="preserve"> </w:t>
      </w:r>
      <w:r>
        <w:rPr>
          <w:rFonts w:ascii="Times New Roman" w:eastAsia="Times New Roman" w:hAnsi="Times New Roman" w:cs="Times New Roman"/>
        </w:rPr>
        <w:t xml:space="preserve">4 </w:t>
      </w:r>
      <w:r>
        <w:t>期，公告在國教署「原住民教育資訊網</w:t>
      </w:r>
      <w:hyperlink r:id="rId7" w:history="1">
        <w:r>
          <w:t>站」</w:t>
        </w:r>
      </w:hyperlink>
      <w:hyperlink r:id="rId8" w:history="1">
        <w:r>
          <w:rPr>
            <w:rFonts w:ascii="Times New Roman" w:eastAsia="Times New Roman" w:hAnsi="Times New Roman" w:cs="Times New Roman"/>
            <w:color w:val="0563C1"/>
            <w:u w:val="single" w:color="0563C1"/>
          </w:rPr>
          <w:t>https://ieiw.k12ea.gov</w:t>
        </w:r>
      </w:hyperlink>
      <w:r>
        <w:rPr>
          <w:rFonts w:ascii="Times New Roman" w:eastAsia="Times New Roman" w:hAnsi="Times New Roman" w:cs="Times New Roman"/>
          <w:color w:val="0563C1"/>
          <w:u w:val="single" w:color="0563C1"/>
        </w:rPr>
        <w:t>.tw/TwelveYears/</w:t>
      </w:r>
      <w:r>
        <w:t>。</w:t>
      </w:r>
    </w:p>
    <w:p w:rsidR="003F72B8" w:rsidRDefault="008A1B95">
      <w:pPr>
        <w:numPr>
          <w:ilvl w:val="0"/>
          <w:numId w:val="1"/>
        </w:numPr>
        <w:spacing w:after="102"/>
        <w:ind w:hanging="523"/>
      </w:pPr>
      <w:r>
        <w:t>徵稿方式</w:t>
      </w:r>
      <w:r>
        <w:rPr>
          <w:rFonts w:ascii="Times New Roman" w:eastAsia="Times New Roman" w:hAnsi="Times New Roman" w:cs="Times New Roman"/>
          <w:b/>
        </w:rPr>
        <w:t xml:space="preserve"> </w:t>
      </w:r>
    </w:p>
    <w:p w:rsidR="003F72B8" w:rsidRDefault="008A1B95">
      <w:pPr>
        <w:ind w:left="-3" w:firstLine="521"/>
      </w:pPr>
      <w:r>
        <w:t>以邀稿與徵稿方式併行，對象為專家學者及教師為主，徵稿宣傳文字放在每期電子報中，以及公告在原住民教育資訊網站、宜花東課程發展與協作中心、東華大學原住民學院</w:t>
      </w:r>
      <w:r>
        <w:t xml:space="preserve"> </w:t>
      </w:r>
      <w:r>
        <w:rPr>
          <w:rFonts w:ascii="Times New Roman" w:eastAsia="Times New Roman" w:hAnsi="Times New Roman" w:cs="Times New Roman"/>
        </w:rPr>
        <w:t xml:space="preserve">Facebook </w:t>
      </w:r>
      <w:r>
        <w:t>粉專與網頁。</w:t>
      </w:r>
      <w:r>
        <w:rPr>
          <w:rFonts w:ascii="Times New Roman" w:eastAsia="Times New Roman" w:hAnsi="Times New Roman" w:cs="Times New Roman"/>
        </w:rPr>
        <w:t xml:space="preserve"> </w:t>
      </w:r>
    </w:p>
    <w:p w:rsidR="003F72B8" w:rsidRDefault="008A1B95">
      <w:pPr>
        <w:numPr>
          <w:ilvl w:val="0"/>
          <w:numId w:val="1"/>
        </w:numPr>
        <w:spacing w:after="97"/>
        <w:ind w:hanging="523"/>
      </w:pPr>
      <w:r>
        <w:t>各期季刊內容</w:t>
      </w:r>
      <w:r>
        <w:rPr>
          <w:rFonts w:ascii="Times New Roman" w:eastAsia="Times New Roman" w:hAnsi="Times New Roman" w:cs="Times New Roman"/>
          <w:b/>
        </w:rPr>
        <w:t xml:space="preserve"> </w:t>
      </w:r>
    </w:p>
    <w:p w:rsidR="003F72B8" w:rsidRDefault="008A1B95">
      <w:pPr>
        <w:spacing w:after="264" w:line="251" w:lineRule="auto"/>
        <w:ind w:left="0" w:right="10" w:firstLine="521"/>
        <w:jc w:val="both"/>
      </w:pPr>
      <w:r>
        <w:t>以每季發行一期，每期</w:t>
      </w:r>
      <w:r>
        <w:t xml:space="preserve"> </w:t>
      </w:r>
      <w:r>
        <w:rPr>
          <w:rFonts w:ascii="Times New Roman" w:eastAsia="Times New Roman" w:hAnsi="Times New Roman" w:cs="Times New Roman"/>
        </w:rPr>
        <w:t xml:space="preserve">3 </w:t>
      </w:r>
      <w:r>
        <w:t>至</w:t>
      </w:r>
      <w:r>
        <w:t xml:space="preserve"> </w:t>
      </w:r>
      <w:r>
        <w:rPr>
          <w:rFonts w:ascii="Times New Roman" w:eastAsia="Times New Roman" w:hAnsi="Times New Roman" w:cs="Times New Roman"/>
        </w:rPr>
        <w:t xml:space="preserve">6 </w:t>
      </w:r>
      <w:r>
        <w:t>篇文章，預計收</w:t>
      </w:r>
      <w:r>
        <w:t xml:space="preserve"> </w:t>
      </w:r>
      <w:r>
        <w:rPr>
          <w:rFonts w:ascii="Times New Roman" w:eastAsia="Times New Roman" w:hAnsi="Times New Roman" w:cs="Times New Roman"/>
        </w:rPr>
        <w:t xml:space="preserve">20 </w:t>
      </w:r>
      <w:r>
        <w:t>篇，每篇文章撰寫以</w:t>
      </w:r>
      <w:r>
        <w:t xml:space="preserve"> </w:t>
      </w:r>
      <w:r>
        <w:rPr>
          <w:rFonts w:ascii="Times New Roman" w:eastAsia="Times New Roman" w:hAnsi="Times New Roman" w:cs="Times New Roman"/>
        </w:rPr>
        <w:t xml:space="preserve">3 </w:t>
      </w:r>
      <w:r>
        <w:t>千字為基準。稿費依「中央政府各機關學校稿費支給基準數額修正對照表」為主，</w:t>
      </w:r>
      <w:r>
        <w:rPr>
          <w:rFonts w:ascii="Times New Roman" w:eastAsia="Times New Roman" w:hAnsi="Times New Roman" w:cs="Times New Roman"/>
        </w:rPr>
        <w:t xml:space="preserve">1 </w:t>
      </w:r>
      <w:r>
        <w:t>個字約</w:t>
      </w:r>
      <w:r>
        <w:t xml:space="preserve"> </w:t>
      </w:r>
      <w:r>
        <w:rPr>
          <w:rFonts w:ascii="Times New Roman" w:eastAsia="Times New Roman" w:hAnsi="Times New Roman" w:cs="Times New Roman"/>
        </w:rPr>
        <w:t>1.</w:t>
      </w:r>
      <w:r>
        <w:rPr>
          <w:rFonts w:ascii="新細明體" w:eastAsia="新細明體" w:hAnsi="新細明體" w:cs="Times New Roman"/>
        </w:rPr>
        <w:t>6</w:t>
      </w:r>
      <w:r>
        <w:rPr>
          <w:rFonts w:ascii="Times New Roman" w:eastAsia="Times New Roman" w:hAnsi="Times New Roman" w:cs="Times New Roman"/>
        </w:rPr>
        <w:t xml:space="preserve"> </w:t>
      </w:r>
      <w:r>
        <w:t>元計算。</w:t>
      </w:r>
      <w:r>
        <w:rPr>
          <w:rFonts w:ascii="Times New Roman" w:eastAsia="Times New Roman" w:hAnsi="Times New Roman" w:cs="Times New Roman"/>
        </w:rPr>
        <w:t xml:space="preserve"> </w:t>
      </w:r>
    </w:p>
    <w:p w:rsidR="003F72B8" w:rsidRDefault="008A1B95">
      <w:pPr>
        <w:numPr>
          <w:ilvl w:val="0"/>
          <w:numId w:val="1"/>
        </w:numPr>
        <w:ind w:hanging="523"/>
      </w:pPr>
      <w:r>
        <w:t>截稿日期</w:t>
      </w:r>
    </w:p>
    <w:p w:rsidR="003F72B8" w:rsidRDefault="008A1B95">
      <w:pPr>
        <w:spacing w:after="279" w:line="251" w:lineRule="auto"/>
        <w:ind w:left="0" w:right="204" w:firstLine="0"/>
        <w:jc w:val="right"/>
        <w:rPr>
          <w:color w:val="auto"/>
        </w:rPr>
      </w:pPr>
      <w:r>
        <w:rPr>
          <w:color w:val="auto"/>
        </w:rPr>
        <w:lastRenderedPageBreak/>
        <w:t>稿件隨到隨審的方式，截稿日持續徵稿至：第四期</w:t>
      </w:r>
      <w:r>
        <w:rPr>
          <w:color w:val="auto"/>
        </w:rPr>
        <w:t>113</w:t>
      </w:r>
      <w:r>
        <w:rPr>
          <w:color w:val="auto"/>
        </w:rPr>
        <w:t>年</w:t>
      </w:r>
      <w:r>
        <w:rPr>
          <w:color w:val="auto"/>
        </w:rPr>
        <w:t>9</w:t>
      </w:r>
      <w:r>
        <w:rPr>
          <w:color w:val="auto"/>
        </w:rPr>
        <w:t>月</w:t>
      </w:r>
      <w:r>
        <w:rPr>
          <w:color w:val="auto"/>
        </w:rPr>
        <w:t>30</w:t>
      </w:r>
      <w:r>
        <w:rPr>
          <w:color w:val="auto"/>
        </w:rPr>
        <w:t>日。</w:t>
      </w:r>
    </w:p>
    <w:p w:rsidR="003F72B8" w:rsidRDefault="008A1B95">
      <w:pPr>
        <w:numPr>
          <w:ilvl w:val="0"/>
          <w:numId w:val="1"/>
        </w:numPr>
        <w:spacing w:after="0" w:line="340" w:lineRule="auto"/>
        <w:ind w:hanging="523"/>
      </w:pPr>
      <w:r>
        <w:t>辦理單位與聯繫方式委辦單位：教育部國民及學前教育署</w:t>
      </w:r>
      <w:r>
        <w:rPr>
          <w:rFonts w:ascii="Times New Roman" w:eastAsia="Times New Roman" w:hAnsi="Times New Roman" w:cs="Times New Roman"/>
        </w:rPr>
        <w:t xml:space="preserve"> </w:t>
      </w:r>
    </w:p>
    <w:p w:rsidR="003F72B8" w:rsidRDefault="008A1B95">
      <w:pPr>
        <w:spacing w:after="1" w:line="336" w:lineRule="auto"/>
        <w:ind w:left="534"/>
      </w:pPr>
      <w:r>
        <w:t>執行單位：國立東華大學原住民族課程發展協作中心</w:t>
      </w:r>
    </w:p>
    <w:p w:rsidR="003F72B8" w:rsidRDefault="008A1B95">
      <w:pPr>
        <w:spacing w:after="1" w:line="336" w:lineRule="auto"/>
        <w:ind w:left="534"/>
      </w:pPr>
      <w:r>
        <w:t>聯絡電話：</w:t>
      </w:r>
      <w:r>
        <w:rPr>
          <w:rFonts w:ascii="Times New Roman" w:eastAsia="Times New Roman" w:hAnsi="Times New Roman" w:cs="Times New Roman"/>
        </w:rPr>
        <w:t>03-8905936</w:t>
      </w:r>
    </w:p>
    <w:p w:rsidR="003F72B8" w:rsidRDefault="008A1B95">
      <w:pPr>
        <w:spacing w:after="0" w:line="251" w:lineRule="auto"/>
        <w:ind w:left="524" w:firstLine="0"/>
      </w:pPr>
      <w:r>
        <w:t>投稿信箱請寄：</w:t>
      </w:r>
      <w:r>
        <w:t>abus</w:t>
      </w:r>
      <w:r>
        <w:rPr>
          <w:rFonts w:ascii="Times New Roman" w:eastAsia="Times New Roman" w:hAnsi="Times New Roman" w:cs="Times New Roman"/>
        </w:rPr>
        <w:t>@gms.ndhu.edu.tw</w:t>
      </w:r>
    </w:p>
    <w:p w:rsidR="003F72B8" w:rsidRDefault="008A1B95">
      <w:pPr>
        <w:pStyle w:val="1"/>
        <w:pageBreakBefore/>
      </w:pPr>
      <w:r>
        <w:lastRenderedPageBreak/>
        <w:t>《十二年課綱原住民族教育議題》電子報投稿者基本資料表</w:t>
      </w:r>
      <w:r>
        <w:t xml:space="preserve"> </w:t>
      </w:r>
    </w:p>
    <w:tbl>
      <w:tblPr>
        <w:tblW w:w="10082" w:type="dxa"/>
        <w:tblInd w:w="-784" w:type="dxa"/>
        <w:tblCellMar>
          <w:left w:w="10" w:type="dxa"/>
          <w:right w:w="10" w:type="dxa"/>
        </w:tblCellMar>
        <w:tblLook w:val="0000" w:firstRow="0" w:lastRow="0" w:firstColumn="0" w:lastColumn="0" w:noHBand="0" w:noVBand="0"/>
      </w:tblPr>
      <w:tblGrid>
        <w:gridCol w:w="1354"/>
        <w:gridCol w:w="2405"/>
        <w:gridCol w:w="998"/>
        <w:gridCol w:w="1544"/>
        <w:gridCol w:w="141"/>
        <w:gridCol w:w="862"/>
        <w:gridCol w:w="571"/>
        <w:gridCol w:w="2207"/>
      </w:tblGrid>
      <w:tr w:rsidR="003F72B8">
        <w:tblPrEx>
          <w:tblCellMar>
            <w:top w:w="0" w:type="dxa"/>
            <w:bottom w:w="0" w:type="dxa"/>
          </w:tblCellMar>
        </w:tblPrEx>
        <w:trPr>
          <w:trHeight w:val="1037"/>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392" w:firstLine="0"/>
            </w:pPr>
            <w:r>
              <w:t>姓名</w:t>
            </w:r>
            <w: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0" w:right="675" w:firstLine="0"/>
            </w:pPr>
            <w:r>
              <w:t>中文：</w:t>
            </w:r>
          </w:p>
          <w:p w:rsidR="003F72B8" w:rsidRDefault="008A1B95">
            <w:pPr>
              <w:spacing w:after="0" w:line="251" w:lineRule="auto"/>
              <w:ind w:left="0" w:right="675" w:firstLine="0"/>
            </w:pPr>
            <w:r>
              <w:t>族名：</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211" w:firstLine="0"/>
            </w:pPr>
            <w:r>
              <w:t>族別</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137" w:firstLine="0"/>
              <w:jc w:val="both"/>
            </w:pPr>
            <w:r>
              <w:t>投稿日期</w:t>
            </w:r>
            <w: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214" w:firstLine="0"/>
            </w:pPr>
            <w:r>
              <w:t xml:space="preserve">  </w:t>
            </w:r>
            <w:r>
              <w:t>年</w:t>
            </w:r>
            <w:r>
              <w:t xml:space="preserve">   </w:t>
            </w:r>
            <w:r>
              <w:t>月</w:t>
            </w:r>
            <w:r>
              <w:t xml:space="preserve">   </w:t>
            </w:r>
            <w:r>
              <w:t>日</w:t>
            </w:r>
            <w:r>
              <w:t xml:space="preserve"> </w:t>
            </w:r>
          </w:p>
        </w:tc>
      </w:tr>
      <w:tr w:rsidR="003F72B8">
        <w:tblPrEx>
          <w:tblCellMar>
            <w:top w:w="0" w:type="dxa"/>
            <w:bottom w:w="0" w:type="dxa"/>
          </w:tblCellMar>
        </w:tblPrEx>
        <w:trPr>
          <w:trHeight w:val="958"/>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132" w:firstLine="0"/>
              <w:jc w:val="both"/>
            </w:pPr>
            <w:r>
              <w:t>投稿題目</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3F72B8">
            <w:pPr>
              <w:spacing w:after="160" w:line="251" w:lineRule="auto"/>
              <w:ind w:left="0" w:firstLine="0"/>
            </w:pPr>
          </w:p>
        </w:tc>
      </w:tr>
      <w:tr w:rsidR="003F72B8">
        <w:tblPrEx>
          <w:tblCellMar>
            <w:top w:w="0" w:type="dxa"/>
            <w:bottom w:w="0" w:type="dxa"/>
          </w:tblCellMar>
        </w:tblPrEx>
        <w:trPr>
          <w:trHeight w:val="997"/>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132" w:firstLine="0"/>
              <w:jc w:val="both"/>
            </w:pPr>
            <w:r>
              <w:t>服務單位</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1544" w:type="dxa"/>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216" w:firstLine="0"/>
            </w:pPr>
            <w:r>
              <w:t>職稱</w:t>
            </w:r>
            <w:r>
              <w:t xml:space="preserve"> </w:t>
            </w:r>
          </w:p>
        </w:tc>
        <w:tc>
          <w:tcPr>
            <w:tcW w:w="27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r>
      <w:tr w:rsidR="003F72B8">
        <w:tblPrEx>
          <w:tblCellMar>
            <w:top w:w="0" w:type="dxa"/>
            <w:bottom w:w="0" w:type="dxa"/>
          </w:tblCellMar>
        </w:tblPrEx>
        <w:trPr>
          <w:trHeight w:val="984"/>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0" w:firstLine="0"/>
              <w:jc w:val="center"/>
            </w:pPr>
            <w:r>
              <w:t>最高學歷</w:t>
            </w:r>
            <w:r>
              <w:t xml:space="preserve"> /</w:t>
            </w:r>
            <w:r>
              <w:t>系所</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r>
      <w:tr w:rsidR="003F72B8">
        <w:tblPrEx>
          <w:tblCellMar>
            <w:top w:w="0" w:type="dxa"/>
            <w:bottom w:w="0" w:type="dxa"/>
          </w:tblCellMar>
        </w:tblPrEx>
        <w:trPr>
          <w:trHeight w:val="857"/>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132" w:firstLine="0"/>
              <w:jc w:val="both"/>
            </w:pPr>
            <w:r>
              <w:t>通訊住址</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r>
      <w:tr w:rsidR="003F72B8">
        <w:tblPrEx>
          <w:tblCellMar>
            <w:top w:w="0" w:type="dxa"/>
            <w:bottom w:w="0" w:type="dxa"/>
          </w:tblCellMar>
        </w:tblPrEx>
        <w:trPr>
          <w:trHeight w:val="854"/>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132" w:firstLine="0"/>
              <w:jc w:val="both"/>
            </w:pPr>
            <w:r>
              <w:t>聯絡電話</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vAlign w:val="center"/>
          </w:tcPr>
          <w:p w:rsidR="003F72B8" w:rsidRDefault="003F72B8">
            <w:pPr>
              <w:spacing w:after="160" w:line="251"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r>
      <w:tr w:rsidR="003F72B8">
        <w:tblPrEx>
          <w:tblCellMar>
            <w:top w:w="0" w:type="dxa"/>
            <w:bottom w:w="0" w:type="dxa"/>
          </w:tblCellMar>
        </w:tblPrEx>
        <w:trPr>
          <w:trHeight w:val="852"/>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rsidR="003F72B8" w:rsidRDefault="008A1B95">
            <w:pPr>
              <w:spacing w:after="0" w:line="251" w:lineRule="auto"/>
              <w:ind w:left="132" w:firstLine="0"/>
              <w:jc w:val="both"/>
            </w:pPr>
            <w:r>
              <w:t>電子郵件</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rsidR="003F72B8" w:rsidRDefault="003F72B8">
            <w:pPr>
              <w:spacing w:after="160" w:line="251" w:lineRule="auto"/>
              <w:ind w:left="0" w:firstLine="0"/>
            </w:pPr>
          </w:p>
        </w:tc>
      </w:tr>
    </w:tbl>
    <w:p w:rsidR="003F72B8" w:rsidRDefault="008A1B95">
      <w:pPr>
        <w:spacing w:after="0" w:line="251" w:lineRule="auto"/>
        <w:ind w:left="4" w:firstLine="0"/>
      </w:pPr>
      <w:r>
        <w:t>*</w:t>
      </w:r>
      <w:r>
        <w:t>請將稿件與本資料表一同寄至</w:t>
      </w:r>
      <w:r>
        <w:t>abus@gms.ndhu.edu.tw</w:t>
      </w:r>
    </w:p>
    <w:sectPr w:rsidR="003F72B8">
      <w:headerReference w:type="default" r:id="rId9"/>
      <w:footerReference w:type="default" r:id="rId10"/>
      <w:pgSz w:w="11906" w:h="16838"/>
      <w:pgMar w:top="1492" w:right="1796" w:bottom="1480" w:left="1797" w:header="878"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95" w:rsidRDefault="008A1B95">
      <w:pPr>
        <w:spacing w:after="0" w:line="240" w:lineRule="auto"/>
      </w:pPr>
      <w:r>
        <w:separator/>
      </w:r>
    </w:p>
  </w:endnote>
  <w:endnote w:type="continuationSeparator" w:id="0">
    <w:p w:rsidR="008A1B95" w:rsidRDefault="008A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17" w:rsidRDefault="008A1B95">
    <w:pPr>
      <w:spacing w:after="0" w:line="251" w:lineRule="auto"/>
      <w:ind w:left="0" w:right="1" w:firstLine="0"/>
      <w:jc w:val="center"/>
    </w:pPr>
    <w:r>
      <w:rPr>
        <w:rFonts w:ascii="Calibri" w:eastAsia="Calibri" w:hAnsi="Calibri" w:cs="Calibri"/>
        <w:sz w:val="20"/>
      </w:rPr>
      <w:fldChar w:fldCharType="begin"/>
    </w:r>
    <w:r>
      <w:rPr>
        <w:rFonts w:ascii="Calibri" w:eastAsia="Calibri" w:hAnsi="Calibri" w:cs="Calibri"/>
        <w:sz w:val="20"/>
      </w:rPr>
      <w:instrText xml:space="preserve"> PAGE </w:instrText>
    </w:r>
    <w:r>
      <w:rPr>
        <w:rFonts w:ascii="Calibri" w:eastAsia="Calibri" w:hAnsi="Calibri" w:cs="Calibri"/>
        <w:sz w:val="20"/>
      </w:rPr>
      <w:fldChar w:fldCharType="separate"/>
    </w:r>
    <w:r w:rsidR="00ED5B52">
      <w:rPr>
        <w:rFonts w:ascii="Calibri" w:eastAsia="Calibri" w:hAnsi="Calibri" w:cs="Calibri"/>
        <w:noProof/>
        <w:sz w:val="20"/>
      </w:rPr>
      <w:t>3</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95" w:rsidRDefault="008A1B95">
      <w:pPr>
        <w:spacing w:after="0" w:line="240" w:lineRule="auto"/>
      </w:pPr>
      <w:r>
        <w:separator/>
      </w:r>
    </w:p>
  </w:footnote>
  <w:footnote w:type="continuationSeparator" w:id="0">
    <w:p w:rsidR="008A1B95" w:rsidRDefault="008A1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17" w:rsidRDefault="008A1B95">
    <w:pPr>
      <w:spacing w:after="0" w:line="251" w:lineRule="auto"/>
      <w:ind w:left="0" w:right="4" w:firstLine="0"/>
      <w:jc w:val="right"/>
    </w:pPr>
    <w:r>
      <w:rPr>
        <w:sz w:val="18"/>
      </w:rPr>
      <w:t>十二年課綱部定領域課程原住民族教育議題相關學習內容教學參考資料第三階段編纂及推廣工作計畫</w:t>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64A"/>
    <w:multiLevelType w:val="multilevel"/>
    <w:tmpl w:val="0CEAD6B4"/>
    <w:lvl w:ilvl="0">
      <w:start w:val="1"/>
      <w:numFmt w:val="ideographDigital"/>
      <w:lvlText w:val="%1、"/>
      <w:lvlJc w:val="left"/>
      <w:pPr>
        <w:ind w:left="523"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1">
      <w:start w:val="1"/>
      <w:numFmt w:val="ideographDigital"/>
      <w:lvlText w:val="(%2)"/>
      <w:lvlJc w:val="left"/>
      <w:pPr>
        <w:ind w:left="935" w:firstLine="0"/>
      </w:pPr>
      <w:rPr>
        <w:rFonts w:ascii="標楷體" w:eastAsia="標楷體" w:hAnsi="標楷體" w:cs="Times New Roman"/>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56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28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00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72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44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16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588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F72B8"/>
    <w:rsid w:val="003F72B8"/>
    <w:rsid w:val="008A1B95"/>
    <w:rsid w:val="00ED5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19B56-D880-4FF8-901C-B7BECA38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89" w:line="247" w:lineRule="auto"/>
      <w:ind w:left="22" w:hanging="10"/>
    </w:pPr>
    <w:rPr>
      <w:rFonts w:ascii="標楷體" w:eastAsia="標楷體" w:hAnsi="標楷體" w:cs="標楷體"/>
      <w:color w:val="000000"/>
      <w:sz w:val="26"/>
    </w:rPr>
  </w:style>
  <w:style w:type="paragraph" w:styleId="1">
    <w:name w:val="heading 1"/>
    <w:next w:val="a"/>
    <w:pPr>
      <w:keepNext/>
      <w:keepLines/>
      <w:suppressAutoHyphens/>
      <w:spacing w:line="251" w:lineRule="auto"/>
      <w:jc w:val="center"/>
      <w:outlineLvl w:val="0"/>
    </w:pPr>
    <w:rPr>
      <w:rFonts w:ascii="標楷體" w:eastAsia="標楷體" w:hAnsi="標楷體" w:cs="標楷體"/>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標楷體" w:eastAsia="標楷體" w:hAnsi="標楷體" w:cs="標楷體"/>
      <w:color w:val="000000"/>
      <w:sz w:val="36"/>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標楷體" w:eastAsia="標楷體" w:hAnsi="標楷體" w:cs="標楷體"/>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eiw.ntcu.edu.tw/" TargetMode="External"/><Relationship Id="rId3" Type="http://schemas.openxmlformats.org/officeDocument/2006/relationships/settings" Target="settings.xml"/><Relationship Id="rId7" Type="http://schemas.openxmlformats.org/officeDocument/2006/relationships/hyperlink" Target="https://ieiw.ntc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芷茵</cp:lastModifiedBy>
  <cp:revision>2</cp:revision>
  <dcterms:created xsi:type="dcterms:W3CDTF">2024-03-20T07:22:00Z</dcterms:created>
  <dcterms:modified xsi:type="dcterms:W3CDTF">2024-03-20T07:22:00Z</dcterms:modified>
</cp:coreProperties>
</file>